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15E0" w14:textId="174B5223" w:rsidR="00D2357A" w:rsidRDefault="00103F78" w:rsidP="00D2357A">
      <w:pPr>
        <w:spacing w:after="0" w:line="240" w:lineRule="auto"/>
        <w:rPr>
          <w:rFonts w:ascii="Futura" w:hAnsi="Futura" w:cs="Futura"/>
          <w:color w:val="272727"/>
          <w:sz w:val="20"/>
          <w:szCs w:val="20"/>
        </w:rPr>
      </w:pPr>
      <w:r>
        <w:rPr>
          <w:rFonts w:ascii="Futura" w:hAnsi="Futura" w:cs="Futura"/>
          <w:noProof/>
          <w:color w:val="272727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D1961E" wp14:editId="35989CE4">
            <wp:simplePos x="0" y="0"/>
            <wp:positionH relativeFrom="column">
              <wp:posOffset>-668655</wp:posOffset>
            </wp:positionH>
            <wp:positionV relativeFrom="paragraph">
              <wp:posOffset>-1654423</wp:posOffset>
            </wp:positionV>
            <wp:extent cx="7646400" cy="1080000"/>
            <wp:effectExtent l="0" t="0" r="0" b="12700"/>
            <wp:wrapTight wrapText="bothSides">
              <wp:wrapPolygon edited="0">
                <wp:start x="0" y="0"/>
                <wp:lineTo x="0" y="21346"/>
                <wp:lineTo x="21526" y="21346"/>
                <wp:lineTo x="21526" y="0"/>
                <wp:lineTo x="0" y="0"/>
              </wp:wrapPolygon>
            </wp:wrapTight>
            <wp:docPr id="1" name="Picture 1" descr="Screen%20Shot%202018-02-21%20at%204.15.5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2-21%20at%204.15.59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52A" w:rsidRPr="004F38ED">
        <w:rPr>
          <w:rFonts w:ascii="Futura" w:hAnsi="Futura" w:cs="Futura"/>
          <w:color w:val="272727"/>
          <w:sz w:val="32"/>
          <w:szCs w:val="32"/>
        </w:rPr>
        <w:t xml:space="preserve">Annual </w:t>
      </w:r>
      <w:r w:rsidR="00801855" w:rsidRPr="004F38ED">
        <w:rPr>
          <w:rFonts w:ascii="Futura" w:hAnsi="Futura" w:cs="Futura"/>
          <w:color w:val="272727"/>
          <w:sz w:val="32"/>
          <w:szCs w:val="32"/>
        </w:rPr>
        <w:t xml:space="preserve">Disclosure </w:t>
      </w:r>
      <w:r w:rsidR="004F38ED" w:rsidRPr="004F38ED">
        <w:rPr>
          <w:rFonts w:ascii="Futura" w:hAnsi="Futura" w:cs="Futura"/>
          <w:color w:val="272727"/>
          <w:sz w:val="32"/>
          <w:szCs w:val="32"/>
        </w:rPr>
        <w:t>Report</w:t>
      </w:r>
      <w:r w:rsidR="004F38ED">
        <w:rPr>
          <w:rFonts w:ascii="Futura" w:hAnsi="Futura" w:cs="Futura"/>
          <w:color w:val="272727"/>
          <w:sz w:val="32"/>
          <w:szCs w:val="32"/>
        </w:rPr>
        <w:t>:</w:t>
      </w:r>
      <w:r w:rsidR="004F38ED" w:rsidRPr="004F38ED">
        <w:rPr>
          <w:rFonts w:ascii="Futura" w:hAnsi="Futura" w:cs="Futura"/>
          <w:color w:val="272727"/>
          <w:sz w:val="32"/>
          <w:szCs w:val="32"/>
        </w:rPr>
        <w:t xml:space="preserve"> </w:t>
      </w:r>
      <w:r w:rsidR="00204048">
        <w:rPr>
          <w:rFonts w:ascii="Futura" w:hAnsi="Futura" w:cs="Futura"/>
          <w:color w:val="272727"/>
          <w:sz w:val="32"/>
          <w:szCs w:val="32"/>
        </w:rPr>
        <w:t xml:space="preserve">August </w:t>
      </w:r>
      <w:r w:rsidR="00036A37" w:rsidRPr="004F38ED">
        <w:rPr>
          <w:rFonts w:ascii="Futura" w:hAnsi="Futura" w:cs="Futura"/>
          <w:color w:val="272727"/>
          <w:sz w:val="32"/>
          <w:szCs w:val="32"/>
        </w:rPr>
        <w:t>201</w:t>
      </w:r>
      <w:r w:rsidR="003F1D80">
        <w:rPr>
          <w:rFonts w:ascii="Futura" w:hAnsi="Futura" w:cs="Futura"/>
          <w:color w:val="272727"/>
          <w:sz w:val="32"/>
          <w:szCs w:val="32"/>
        </w:rPr>
        <w:t>7</w:t>
      </w:r>
    </w:p>
    <w:p w14:paraId="5204776E" w14:textId="77777777" w:rsidR="0010552A" w:rsidRPr="00F640A4" w:rsidRDefault="0010552A" w:rsidP="00D2357A">
      <w:pPr>
        <w:spacing w:after="0" w:line="240" w:lineRule="auto"/>
        <w:rPr>
          <w:rFonts w:ascii="Futura" w:hAnsi="Futura" w:cs="Futura"/>
          <w:color w:val="272727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10552A" w14:paraId="68FA1193" w14:textId="77777777" w:rsidTr="0010552A">
        <w:trPr>
          <w:trHeight w:val="213"/>
        </w:trPr>
        <w:tc>
          <w:tcPr>
            <w:tcW w:w="9849" w:type="dxa"/>
          </w:tcPr>
          <w:p w14:paraId="24263633" w14:textId="10CDAA3E" w:rsidR="0010552A" w:rsidRDefault="0010552A" w:rsidP="003F1D80">
            <w:pPr>
              <w:pStyle w:val="Pa8"/>
              <w:spacing w:before="40" w:after="40"/>
              <w:rPr>
                <w:rFonts w:cs="Volkswagen Copy"/>
                <w:color w:val="211D1E"/>
                <w:sz w:val="18"/>
                <w:szCs w:val="18"/>
              </w:rPr>
            </w:pPr>
            <w:r>
              <w:rPr>
                <w:rFonts w:cs="Volkswagen Copy"/>
                <w:color w:val="211D1E"/>
                <w:sz w:val="18"/>
                <w:szCs w:val="18"/>
              </w:rPr>
              <w:t>In accordance with the PDS disclosure these reports are available by contacting Fundhost, or at</w:t>
            </w:r>
            <w:r w:rsidR="003F1D80">
              <w:rPr>
                <w:rFonts w:cs="Volkswagen Copy"/>
                <w:color w:val="211D1E"/>
                <w:sz w:val="18"/>
                <w:szCs w:val="18"/>
              </w:rPr>
              <w:t xml:space="preserve"> </w:t>
            </w:r>
            <w:r w:rsidR="003F1D80" w:rsidRPr="003F1D80">
              <w:rPr>
                <w:rFonts w:cs="Volkswagen Copy"/>
                <w:color w:val="211D1E"/>
                <w:sz w:val="18"/>
                <w:szCs w:val="18"/>
              </w:rPr>
              <w:t>https://fundhost.com.au/fund/</w:t>
            </w:r>
            <w:r w:rsidR="001C3F32" w:rsidRPr="001C3F32">
              <w:rPr>
                <w:rFonts w:cs="Volkswagen Copy"/>
                <w:color w:val="211D1E"/>
                <w:sz w:val="18"/>
                <w:szCs w:val="18"/>
              </w:rPr>
              <w:t>montgomery-alpha-plus-fund</w:t>
            </w:r>
            <w:r w:rsidR="003F1D80" w:rsidRPr="003F1D80">
              <w:rPr>
                <w:rFonts w:cs="Volkswagen Copy"/>
                <w:color w:val="211D1E"/>
                <w:sz w:val="18"/>
                <w:szCs w:val="18"/>
              </w:rPr>
              <w:t>/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134"/>
        <w:gridCol w:w="2173"/>
        <w:gridCol w:w="2646"/>
      </w:tblGrid>
      <w:tr w:rsidR="00204048" w:rsidRPr="009D628C" w14:paraId="7B0BB8DF" w14:textId="77777777" w:rsidTr="00B14AF0">
        <w:trPr>
          <w:trHeight w:val="536"/>
        </w:trPr>
        <w:tc>
          <w:tcPr>
            <w:tcW w:w="4253" w:type="dxa"/>
            <w:gridSpan w:val="2"/>
            <w:vAlign w:val="center"/>
          </w:tcPr>
          <w:p w14:paraId="0B6C4C81" w14:textId="14EF422B" w:rsidR="00204048" w:rsidRPr="009D628C" w:rsidRDefault="00204048" w:rsidP="009C24E2">
            <w:pPr>
              <w:spacing w:line="276" w:lineRule="auto"/>
              <w:rPr>
                <w:rFonts w:ascii="Georgia" w:hAnsi="Georgia" w:cs="Futura"/>
                <w:color w:val="E5001C"/>
                <w:sz w:val="18"/>
                <w:szCs w:val="18"/>
              </w:rPr>
            </w:pPr>
            <w:r>
              <w:rPr>
                <w:rFonts w:ascii="Georgia" w:hAnsi="Georgia" w:cs="Futura"/>
                <w:color w:val="E5001C"/>
                <w:sz w:val="18"/>
                <w:szCs w:val="18"/>
              </w:rPr>
              <w:t>3</w:t>
            </w:r>
            <w:r w:rsidR="001C3F32">
              <w:rPr>
                <w:rFonts w:ascii="Georgia" w:hAnsi="Georgia" w:cs="Futura"/>
                <w:color w:val="E5001C"/>
                <w:sz w:val="18"/>
                <w:szCs w:val="18"/>
              </w:rPr>
              <w:t>1</w:t>
            </w:r>
            <w:r>
              <w:rPr>
                <w:rFonts w:ascii="Georgia" w:hAnsi="Georgia" w:cs="Futura"/>
                <w:color w:val="E5001C"/>
                <w:sz w:val="18"/>
                <w:szCs w:val="18"/>
              </w:rPr>
              <w:t xml:space="preserve"> </w:t>
            </w:r>
            <w:r w:rsidR="001C3F32">
              <w:rPr>
                <w:rFonts w:ascii="Georgia" w:hAnsi="Georgia" w:cs="Futura"/>
                <w:color w:val="E5001C"/>
                <w:sz w:val="18"/>
                <w:szCs w:val="18"/>
              </w:rPr>
              <w:t>August</w:t>
            </w:r>
            <w:r>
              <w:rPr>
                <w:rFonts w:ascii="Georgia" w:hAnsi="Georgia" w:cs="Futura"/>
                <w:color w:val="E5001C"/>
                <w:sz w:val="18"/>
                <w:szCs w:val="18"/>
              </w:rPr>
              <w:t xml:space="preserve"> 2017</w:t>
            </w:r>
          </w:p>
        </w:tc>
        <w:tc>
          <w:tcPr>
            <w:tcW w:w="4819" w:type="dxa"/>
            <w:gridSpan w:val="2"/>
            <w:vAlign w:val="center"/>
          </w:tcPr>
          <w:p w14:paraId="54BFAED4" w14:textId="376B9179" w:rsidR="00204048" w:rsidRPr="009D628C" w:rsidRDefault="00204048" w:rsidP="00204048">
            <w:pPr>
              <w:spacing w:line="276" w:lineRule="auto"/>
              <w:rPr>
                <w:rFonts w:ascii="Georgia" w:hAnsi="Georgia" w:cs="Futura"/>
                <w:color w:val="E5001C"/>
                <w:sz w:val="18"/>
                <w:szCs w:val="18"/>
              </w:rPr>
            </w:pPr>
            <w:r w:rsidRPr="009D628C">
              <w:rPr>
                <w:rFonts w:ascii="Georgia" w:hAnsi="Georgia" w:cs="Futura"/>
                <w:color w:val="E5001C"/>
                <w:sz w:val="18"/>
                <w:szCs w:val="18"/>
              </w:rPr>
              <w:t>MONT</w:t>
            </w:r>
            <w:r>
              <w:rPr>
                <w:rFonts w:ascii="Georgia" w:hAnsi="Georgia" w:cs="Futura"/>
                <w:color w:val="E5001C"/>
                <w:sz w:val="18"/>
                <w:szCs w:val="18"/>
              </w:rPr>
              <w:t xml:space="preserve">GOMERY ALPHA PLUS FUND </w:t>
            </w:r>
          </w:p>
        </w:tc>
      </w:tr>
      <w:tr w:rsidR="00204048" w:rsidRPr="004E6584" w14:paraId="2C9CDA5E" w14:textId="77777777" w:rsidTr="00B14AF0">
        <w:trPr>
          <w:trHeight w:val="723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0D067299" w14:textId="77777777" w:rsidR="00204048" w:rsidRPr="006E77C6" w:rsidRDefault="00204048" w:rsidP="0010552A">
            <w:pPr>
              <w:rPr>
                <w:rFonts w:ascii="Futura Heavy" w:hAnsi="Futura Heavy" w:cs="Futura"/>
                <w:sz w:val="18"/>
                <w:szCs w:val="18"/>
              </w:rPr>
            </w:pPr>
            <w:r w:rsidRPr="009D628C">
              <w:rPr>
                <w:rFonts w:ascii="Georgia" w:hAnsi="Georgia" w:cs="Futura"/>
                <w:color w:val="E5001C"/>
                <w:sz w:val="18"/>
                <w:szCs w:val="18"/>
              </w:rPr>
              <w:t xml:space="preserve"> </w:t>
            </w:r>
          </w:p>
          <w:p w14:paraId="019A480A" w14:textId="77777777" w:rsidR="00204048" w:rsidRDefault="00204048" w:rsidP="0010552A">
            <w:pPr>
              <w:pStyle w:val="Default"/>
              <w:rPr>
                <w:rFonts w:cstheme="minorBidi"/>
                <w:color w:val="auto"/>
              </w:rPr>
            </w:pPr>
          </w:p>
          <w:p w14:paraId="16CA4F6C" w14:textId="2F9AE121" w:rsidR="00204048" w:rsidRPr="005917E2" w:rsidRDefault="00204048" w:rsidP="0010552A">
            <w:pPr>
              <w:pStyle w:val="Default"/>
              <w:rPr>
                <w:rFonts w:ascii="Futura Heavy" w:hAnsi="Futura Heavy" w:cs="Futura"/>
                <w:b/>
                <w:color w:val="auto"/>
                <w:sz w:val="18"/>
                <w:szCs w:val="18"/>
              </w:rPr>
            </w:pPr>
            <w:r w:rsidRPr="005917E2">
              <w:rPr>
                <w:rFonts w:ascii="Futura Heavy" w:hAnsi="Futura Heavy" w:cs="Futura"/>
                <w:b/>
                <w:color w:val="auto"/>
                <w:sz w:val="18"/>
                <w:szCs w:val="18"/>
              </w:rPr>
              <w:t xml:space="preserve">Asset allocation to each asset type </w:t>
            </w:r>
          </w:p>
          <w:p w14:paraId="0BC045B1" w14:textId="4F04FA62" w:rsidR="00204048" w:rsidRPr="006E77C6" w:rsidRDefault="00204048" w:rsidP="0010552A">
            <w:pPr>
              <w:rPr>
                <w:rFonts w:ascii="Futura Heavy" w:hAnsi="Futura Heavy" w:cs="Futura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03FFD0DA" w14:textId="3DC72916" w:rsidR="00204048" w:rsidRPr="00AC7CF4" w:rsidRDefault="00B14AF0" w:rsidP="00570979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Long positions</w:t>
            </w:r>
            <w:r w:rsidR="004D1861">
              <w:rPr>
                <w:rFonts w:ascii="Futura Heavy" w:hAnsi="Futura Heavy" w:cs="Futura"/>
                <w:sz w:val="18"/>
                <w:szCs w:val="18"/>
              </w:rPr>
              <w:t xml:space="preserve"> in Montgomery Alpha Plus </w:t>
            </w:r>
            <w:r w:rsidR="00204048" w:rsidRPr="003F1D80">
              <w:rPr>
                <w:rFonts w:ascii="Futura Heavy" w:hAnsi="Futura Heavy" w:cs="Futura"/>
                <w:sz w:val="18"/>
                <w:szCs w:val="18"/>
              </w:rPr>
              <w:t xml:space="preserve">Fund: </w:t>
            </w:r>
            <w:r w:rsidRPr="00AC7CF4">
              <w:rPr>
                <w:rFonts w:ascii="Futura Heavy" w:hAnsi="Futura Heavy" w:cs="Futura"/>
                <w:sz w:val="18"/>
                <w:szCs w:val="18"/>
              </w:rPr>
              <w:t>110.73</w:t>
            </w:r>
            <w:r w:rsidR="00204048" w:rsidRPr="00AC7CF4">
              <w:rPr>
                <w:rFonts w:ascii="Futura Heavy" w:hAnsi="Futura Heavy" w:cs="Futura"/>
                <w:sz w:val="18"/>
                <w:szCs w:val="18"/>
              </w:rPr>
              <w:t>%</w:t>
            </w:r>
          </w:p>
          <w:p w14:paraId="15D8B796" w14:textId="3607B435" w:rsidR="00B14AF0" w:rsidRPr="00AC7CF4" w:rsidRDefault="00B14AF0" w:rsidP="00570979">
            <w:pPr>
              <w:rPr>
                <w:rFonts w:ascii="Futura Heavy" w:hAnsi="Futura Heavy" w:cs="Futura"/>
                <w:sz w:val="18"/>
                <w:szCs w:val="18"/>
              </w:rPr>
            </w:pPr>
          </w:p>
          <w:p w14:paraId="6FE15B30" w14:textId="3F75FA72" w:rsidR="00B14AF0" w:rsidRPr="00AC7CF4" w:rsidRDefault="00B14AF0" w:rsidP="00B14AF0">
            <w:pPr>
              <w:rPr>
                <w:rFonts w:ascii="Futura Heavy" w:hAnsi="Futura Heavy" w:cs="Futura"/>
                <w:sz w:val="18"/>
                <w:szCs w:val="18"/>
              </w:rPr>
            </w:pPr>
            <w:r w:rsidRPr="00AC7CF4">
              <w:rPr>
                <w:rFonts w:ascii="Futura Heavy" w:hAnsi="Futura Heavy" w:cs="Futura"/>
                <w:sz w:val="18"/>
                <w:szCs w:val="18"/>
              </w:rPr>
              <w:t>Short positions in Montgomery Alpha Plus Fund:          -103.08%</w:t>
            </w:r>
          </w:p>
          <w:p w14:paraId="6099305D" w14:textId="77777777" w:rsidR="00B14AF0" w:rsidRPr="00AC7CF4" w:rsidRDefault="00B14AF0" w:rsidP="00570979">
            <w:pPr>
              <w:rPr>
                <w:rFonts w:ascii="Futura Heavy" w:hAnsi="Futura Heavy" w:cs="Futura"/>
                <w:sz w:val="18"/>
                <w:szCs w:val="18"/>
              </w:rPr>
            </w:pPr>
          </w:p>
          <w:p w14:paraId="1167485B" w14:textId="77777777" w:rsidR="00B14AF0" w:rsidRPr="00AC7CF4" w:rsidRDefault="00B14AF0" w:rsidP="00570979">
            <w:pPr>
              <w:rPr>
                <w:rFonts w:ascii="Futura Heavy" w:hAnsi="Futura Heavy" w:cs="Futura"/>
                <w:sz w:val="18"/>
                <w:szCs w:val="18"/>
              </w:rPr>
            </w:pPr>
          </w:p>
          <w:p w14:paraId="6A3E4262" w14:textId="0ED934E1" w:rsidR="00204048" w:rsidRPr="003F1D80" w:rsidRDefault="00204048" w:rsidP="00570979">
            <w:pPr>
              <w:rPr>
                <w:rFonts w:ascii="Futura Heavy" w:hAnsi="Futura Heavy" w:cs="Futura"/>
                <w:sz w:val="18"/>
                <w:szCs w:val="18"/>
              </w:rPr>
            </w:pPr>
            <w:r w:rsidRPr="00AC7CF4">
              <w:rPr>
                <w:rFonts w:ascii="Futura Heavy" w:hAnsi="Futura Heavy" w:cs="Futura"/>
                <w:sz w:val="18"/>
                <w:szCs w:val="18"/>
              </w:rPr>
              <w:t xml:space="preserve">Cash: </w:t>
            </w:r>
            <w:r w:rsidR="00B14AF0" w:rsidRPr="00AC7CF4">
              <w:rPr>
                <w:rFonts w:ascii="Futura Heavy" w:hAnsi="Futura Heavy" w:cs="Futura"/>
                <w:sz w:val="18"/>
                <w:szCs w:val="18"/>
              </w:rPr>
              <w:t>92.35%</w:t>
            </w:r>
            <w:r w:rsidR="009A0A32" w:rsidRPr="00AC7CF4">
              <w:rPr>
                <w:rFonts w:ascii="Futura Heavy" w:hAnsi="Futura Heavy" w:cs="Futura"/>
                <w:sz w:val="18"/>
                <w:szCs w:val="18"/>
              </w:rPr>
              <w:t xml:space="preserve">  o</w:t>
            </w:r>
            <w:r w:rsidR="009A0A32">
              <w:rPr>
                <w:rFonts w:ascii="Futura Heavy" w:hAnsi="Futura Heavy" w:cs="Futura"/>
                <w:sz w:val="18"/>
                <w:szCs w:val="18"/>
              </w:rPr>
              <w:t xml:space="preserve">f net position </w:t>
            </w:r>
          </w:p>
        </w:tc>
      </w:tr>
      <w:tr w:rsidR="00204048" w:rsidRPr="004E6584" w14:paraId="404544A8" w14:textId="77777777" w:rsidTr="00B14AF0">
        <w:trPr>
          <w:trHeight w:val="723"/>
        </w:trPr>
        <w:tc>
          <w:tcPr>
            <w:tcW w:w="4253" w:type="dxa"/>
            <w:gridSpan w:val="2"/>
            <w:vAlign w:val="center"/>
          </w:tcPr>
          <w:p w14:paraId="044D2103" w14:textId="3C1C1E1B" w:rsidR="00204048" w:rsidRDefault="00204048" w:rsidP="005961CC">
            <w:pPr>
              <w:rPr>
                <w:rFonts w:ascii="Futura Heavy" w:hAnsi="Futura Heavy" w:cs="Futura"/>
                <w:b/>
                <w:sz w:val="18"/>
                <w:szCs w:val="18"/>
              </w:rPr>
            </w:pPr>
          </w:p>
          <w:p w14:paraId="7B209710" w14:textId="11B86E47" w:rsidR="00204048" w:rsidRPr="00801855" w:rsidRDefault="00204048" w:rsidP="005961CC">
            <w:pPr>
              <w:rPr>
                <w:rFonts w:ascii="Futura Heavy" w:hAnsi="Futura Heavy" w:cs="Futura"/>
                <w:b/>
                <w:sz w:val="18"/>
                <w:szCs w:val="18"/>
              </w:rPr>
            </w:pPr>
            <w:r w:rsidRPr="00801855">
              <w:rPr>
                <w:rFonts w:ascii="Futura Heavy" w:hAnsi="Futura Heavy" w:cs="Futura"/>
                <w:b/>
                <w:sz w:val="18"/>
                <w:szCs w:val="18"/>
              </w:rPr>
              <w:t xml:space="preserve">Liquidity Profile at end of </w:t>
            </w:r>
            <w:r w:rsidR="004D1861">
              <w:rPr>
                <w:rFonts w:ascii="Futura Heavy" w:hAnsi="Futura Heavy" w:cs="Futura"/>
                <w:b/>
                <w:sz w:val="18"/>
                <w:szCs w:val="18"/>
              </w:rPr>
              <w:t>August 2017</w:t>
            </w:r>
          </w:p>
          <w:p w14:paraId="0AB9FF46" w14:textId="77777777" w:rsidR="00204048" w:rsidRDefault="00204048" w:rsidP="00801855"/>
          <w:p w14:paraId="187212DB" w14:textId="11193F4D" w:rsidR="00204048" w:rsidRPr="006E77C6" w:rsidRDefault="006C31A9" w:rsidP="00203290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The r</w:t>
            </w:r>
            <w:r w:rsidR="00204048" w:rsidRPr="00AC7CF4">
              <w:rPr>
                <w:rFonts w:ascii="Futura Heavy" w:hAnsi="Futura Heavy" w:cs="Futura"/>
                <w:sz w:val="18"/>
                <w:szCs w:val="18"/>
              </w:rPr>
              <w:t>epresentation of asset liquidity (the estimated time required to sell an asset at the value ascribed to that asset in the fund’s most recently calculated net asset value)</w:t>
            </w:r>
            <w:r>
              <w:rPr>
                <w:rFonts w:ascii="Futura Heavy" w:hAnsi="Futura Heavy" w:cs="Futura"/>
                <w:sz w:val="18"/>
                <w:szCs w:val="18"/>
              </w:rPr>
              <w:t>.</w:t>
            </w:r>
            <w:r w:rsidR="00204048" w:rsidRPr="006E77C6">
              <w:rPr>
                <w:rFonts w:ascii="Futura Heavy" w:hAnsi="Futura Heavy" w:cs="Futura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6B4A12B4" w14:textId="4CDE3D92" w:rsidR="00204048" w:rsidRPr="003F1D80" w:rsidRDefault="0089520A" w:rsidP="005917E2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Montgomery Alpha Plus Fund</w:t>
            </w:r>
            <w:r w:rsidRPr="0089520A">
              <w:rPr>
                <w:rFonts w:ascii="Futura Heavy" w:hAnsi="Futura Heavy" w:cs="Futura"/>
                <w:sz w:val="18"/>
                <w:szCs w:val="18"/>
              </w:rPr>
              <w:t xml:space="preserve"> can liquidate </w:t>
            </w:r>
            <w:r w:rsidR="00C566EB">
              <w:rPr>
                <w:rFonts w:ascii="Futura Heavy" w:hAnsi="Futura Heavy" w:cs="Futura"/>
                <w:sz w:val="18"/>
                <w:szCs w:val="18"/>
              </w:rPr>
              <w:t>94</w:t>
            </w:r>
            <w:r w:rsidRPr="0089520A">
              <w:rPr>
                <w:rFonts w:ascii="Futura Heavy" w:hAnsi="Futura Heavy" w:cs="Futura"/>
                <w:sz w:val="18"/>
                <w:szCs w:val="18"/>
              </w:rPr>
              <w:t>% of the po</w:t>
            </w:r>
            <w:bookmarkStart w:id="0" w:name="_GoBack"/>
            <w:bookmarkEnd w:id="0"/>
            <w:r w:rsidRPr="0089520A">
              <w:rPr>
                <w:rFonts w:ascii="Futura Heavy" w:hAnsi="Futura Heavy" w:cs="Futura"/>
                <w:sz w:val="18"/>
                <w:szCs w:val="18"/>
              </w:rPr>
              <w:t xml:space="preserve">rtfolio within 1 day and 100% within </w:t>
            </w:r>
            <w:r w:rsidR="00661C73">
              <w:rPr>
                <w:rFonts w:ascii="Futura Heavy" w:hAnsi="Futura Heavy" w:cs="Futura"/>
                <w:sz w:val="18"/>
                <w:szCs w:val="18"/>
              </w:rPr>
              <w:t>3</w:t>
            </w:r>
            <w:r w:rsidRPr="0089520A">
              <w:rPr>
                <w:rFonts w:ascii="Futura Heavy" w:hAnsi="Futura Heavy" w:cs="Futura"/>
                <w:sz w:val="18"/>
                <w:szCs w:val="18"/>
              </w:rPr>
              <w:t xml:space="preserve"> days. </w:t>
            </w:r>
          </w:p>
        </w:tc>
      </w:tr>
      <w:tr w:rsidR="00204048" w:rsidRPr="004E6584" w14:paraId="638C6F0F" w14:textId="77777777" w:rsidTr="00B14AF0">
        <w:trPr>
          <w:trHeight w:val="723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57F53A12" w14:textId="77777777" w:rsidR="00204048" w:rsidRPr="00203290" w:rsidRDefault="00204048" w:rsidP="005961CC">
            <w:pPr>
              <w:rPr>
                <w:rFonts w:ascii="Futura Heavy" w:hAnsi="Futura Heavy" w:cs="Futura"/>
                <w:sz w:val="18"/>
                <w:szCs w:val="18"/>
              </w:rPr>
            </w:pPr>
          </w:p>
          <w:p w14:paraId="3BE786FE" w14:textId="77777777" w:rsidR="00204048" w:rsidRPr="00203290" w:rsidRDefault="00204048" w:rsidP="005961CC">
            <w:pPr>
              <w:rPr>
                <w:rFonts w:ascii="Futura Heavy" w:hAnsi="Futura Heavy" w:cs="Futura"/>
                <w:b/>
                <w:sz w:val="18"/>
                <w:szCs w:val="18"/>
              </w:rPr>
            </w:pPr>
            <w:r w:rsidRPr="00203290">
              <w:rPr>
                <w:rFonts w:ascii="Futura Heavy" w:hAnsi="Futura Heavy" w:cs="Futura"/>
                <w:b/>
                <w:sz w:val="18"/>
                <w:szCs w:val="18"/>
              </w:rPr>
              <w:t xml:space="preserve">Maturity profile of liabilities </w:t>
            </w:r>
          </w:p>
          <w:p w14:paraId="1F954489" w14:textId="77777777" w:rsidR="00204048" w:rsidRPr="00203290" w:rsidRDefault="00204048" w:rsidP="00801855">
            <w:pPr>
              <w:rPr>
                <w:rFonts w:ascii="Futura Heavy" w:hAnsi="Futura Heavy" w:cs="Futura"/>
                <w:sz w:val="18"/>
                <w:szCs w:val="18"/>
              </w:rPr>
            </w:pPr>
            <w:r w:rsidRPr="00203290">
              <w:rPr>
                <w:rFonts w:ascii="Futura Heavy" w:hAnsi="Futura Heavy" w:cs="Futura"/>
                <w:sz w:val="18"/>
                <w:szCs w:val="18"/>
              </w:rPr>
              <w:t>[the representation of maturities in a graphical form that allows easy comparison with the liquidity profile of the portfolio assets]</w:t>
            </w:r>
          </w:p>
          <w:p w14:paraId="3C67C895" w14:textId="3A974314" w:rsidR="00204048" w:rsidRPr="00203290" w:rsidRDefault="00204048" w:rsidP="00801855">
            <w:pPr>
              <w:rPr>
                <w:rFonts w:ascii="Futura Heavy" w:hAnsi="Futura Heavy" w:cs="Futura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7486D704" w14:textId="58A8C365" w:rsidR="00204048" w:rsidRPr="003F1D80" w:rsidRDefault="00661C73" w:rsidP="00570979">
            <w:pPr>
              <w:rPr>
                <w:rFonts w:ascii="Futura Heavy" w:hAnsi="Futura Heavy" w:cs="Futura"/>
                <w:sz w:val="18"/>
                <w:szCs w:val="18"/>
              </w:rPr>
            </w:pPr>
            <w:r w:rsidRPr="00661C73">
              <w:rPr>
                <w:rFonts w:ascii="Futura Heavy" w:hAnsi="Futura Heavy" w:cs="Futura"/>
                <w:sz w:val="18"/>
                <w:szCs w:val="18"/>
              </w:rPr>
              <w:t>Liabilities are generally paid within 30 days of invoice date. The short portfolio can be closed out within 3 days and are generally very liquid.</w:t>
            </w:r>
          </w:p>
        </w:tc>
      </w:tr>
      <w:tr w:rsidR="00204048" w:rsidRPr="004E6584" w14:paraId="231E3FD5" w14:textId="77777777" w:rsidTr="00B14AF0">
        <w:trPr>
          <w:trHeight w:val="723"/>
        </w:trPr>
        <w:tc>
          <w:tcPr>
            <w:tcW w:w="4253" w:type="dxa"/>
            <w:gridSpan w:val="2"/>
            <w:vAlign w:val="center"/>
          </w:tcPr>
          <w:p w14:paraId="7EDB9DF6" w14:textId="77777777" w:rsidR="00204048" w:rsidRDefault="00204048" w:rsidP="0010552A">
            <w:pPr>
              <w:pStyle w:val="Default"/>
              <w:rPr>
                <w:rFonts w:cstheme="minorBidi"/>
                <w:color w:val="auto"/>
              </w:rPr>
            </w:pPr>
          </w:p>
          <w:p w14:paraId="4A47D303" w14:textId="4ECFB6FC" w:rsidR="00204048" w:rsidRPr="005917E2" w:rsidRDefault="00204048" w:rsidP="0010552A">
            <w:pPr>
              <w:pStyle w:val="Default"/>
              <w:rPr>
                <w:rFonts w:ascii="Futura Heavy" w:hAnsi="Futura Heavy" w:cs="Futura"/>
                <w:b/>
                <w:color w:val="auto"/>
                <w:sz w:val="18"/>
                <w:szCs w:val="18"/>
              </w:rPr>
            </w:pPr>
            <w:r w:rsidRPr="005917E2">
              <w:rPr>
                <w:rFonts w:ascii="Futura Heavy" w:hAnsi="Futura Heavy" w:cs="Futura"/>
                <w:b/>
                <w:color w:val="auto"/>
                <w:sz w:val="18"/>
                <w:szCs w:val="18"/>
              </w:rPr>
              <w:t xml:space="preserve">Gross exposure as a measure of the leverage ratio at the end of the relevant period </w:t>
            </w:r>
          </w:p>
          <w:p w14:paraId="1D8D8C5C" w14:textId="5A411944" w:rsidR="00204048" w:rsidRPr="006E77C6" w:rsidRDefault="00204048" w:rsidP="005961CC">
            <w:pPr>
              <w:rPr>
                <w:rFonts w:ascii="Futura Heavy" w:hAnsi="Futura Heavy" w:cs="Futura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A4E6D34" w14:textId="6303CA0A" w:rsidR="00204048" w:rsidRPr="003F1D80" w:rsidRDefault="00B079FC" w:rsidP="005961CC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214% of a limit of 300%.</w:t>
            </w:r>
          </w:p>
        </w:tc>
      </w:tr>
      <w:tr w:rsidR="00204048" w:rsidRPr="004E6584" w14:paraId="682A0090" w14:textId="77777777" w:rsidTr="00B14AF0">
        <w:trPr>
          <w:trHeight w:val="723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58A303C2" w14:textId="77777777" w:rsidR="00204048" w:rsidRPr="005917E2" w:rsidRDefault="00204048" w:rsidP="0010552A">
            <w:pPr>
              <w:pStyle w:val="Default"/>
              <w:rPr>
                <w:rFonts w:ascii="Futura Heavy" w:hAnsi="Futura Heavy" w:cs="Futura"/>
                <w:b/>
                <w:color w:val="auto"/>
                <w:sz w:val="18"/>
                <w:szCs w:val="18"/>
              </w:rPr>
            </w:pPr>
          </w:p>
          <w:p w14:paraId="00D4039F" w14:textId="0157BFBC" w:rsidR="00204048" w:rsidRPr="005917E2" w:rsidRDefault="00204048" w:rsidP="0010552A">
            <w:pPr>
              <w:pStyle w:val="Default"/>
              <w:rPr>
                <w:rFonts w:ascii="Futura Heavy" w:hAnsi="Futura Heavy" w:cs="Futura"/>
                <w:b/>
                <w:color w:val="auto"/>
                <w:sz w:val="18"/>
                <w:szCs w:val="18"/>
              </w:rPr>
            </w:pPr>
            <w:r w:rsidRPr="005917E2">
              <w:rPr>
                <w:rFonts w:ascii="Futura Heavy" w:hAnsi="Futura Heavy" w:cs="Futura"/>
                <w:b/>
                <w:color w:val="auto"/>
                <w:sz w:val="18"/>
                <w:szCs w:val="18"/>
              </w:rPr>
              <w:t xml:space="preserve">Derivative counterparties engaged </w:t>
            </w:r>
          </w:p>
          <w:p w14:paraId="5A838F0A" w14:textId="2827EB8C" w:rsidR="00204048" w:rsidRPr="006E77C6" w:rsidRDefault="00204048" w:rsidP="005961CC">
            <w:pPr>
              <w:rPr>
                <w:rFonts w:ascii="Futura Heavy" w:hAnsi="Futura Heavy" w:cs="Futura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04136979" w14:textId="77777777" w:rsidR="00204048" w:rsidRPr="003F1D80" w:rsidRDefault="00204048" w:rsidP="005961CC">
            <w:pPr>
              <w:rPr>
                <w:rFonts w:ascii="Futura Heavy" w:hAnsi="Futura Heavy" w:cs="Futura"/>
                <w:sz w:val="18"/>
                <w:szCs w:val="18"/>
              </w:rPr>
            </w:pPr>
            <w:r w:rsidRPr="003F1D80">
              <w:rPr>
                <w:rFonts w:ascii="Futura Heavy" w:hAnsi="Futura Heavy" w:cs="Futura"/>
                <w:sz w:val="18"/>
                <w:szCs w:val="18"/>
              </w:rPr>
              <w:t>N/A</w:t>
            </w:r>
          </w:p>
        </w:tc>
      </w:tr>
      <w:tr w:rsidR="00204048" w:rsidRPr="004E6584" w14:paraId="77134BD5" w14:textId="77777777" w:rsidTr="00B14AF0">
        <w:trPr>
          <w:trHeight w:val="723"/>
        </w:trPr>
        <w:tc>
          <w:tcPr>
            <w:tcW w:w="4253" w:type="dxa"/>
            <w:gridSpan w:val="2"/>
            <w:vAlign w:val="center"/>
          </w:tcPr>
          <w:p w14:paraId="37BF9345" w14:textId="77777777" w:rsidR="00204048" w:rsidRPr="00801855" w:rsidRDefault="00204048" w:rsidP="00801855">
            <w:pPr>
              <w:rPr>
                <w:rFonts w:ascii="Futura Heavy" w:hAnsi="Futura Heavy" w:cs="Futura"/>
                <w:b/>
                <w:sz w:val="18"/>
                <w:szCs w:val="18"/>
              </w:rPr>
            </w:pPr>
            <w:r w:rsidRPr="00801855">
              <w:rPr>
                <w:rFonts w:ascii="Futura Heavy" w:hAnsi="Futura Heavy" w:cs="Futura"/>
                <w:b/>
                <w:sz w:val="18"/>
                <w:szCs w:val="18"/>
              </w:rPr>
              <w:t>Monthly Returns</w:t>
            </w:r>
          </w:p>
          <w:p w14:paraId="2E64806F" w14:textId="1DF8254B" w:rsidR="00204048" w:rsidRPr="006E77C6" w:rsidRDefault="00204048" w:rsidP="00801855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[</w:t>
            </w:r>
            <w:r w:rsidRPr="00801855">
              <w:rPr>
                <w:rFonts w:ascii="Futura Heavy" w:hAnsi="Futura Heavy" w:cs="Futura"/>
                <w:sz w:val="18"/>
                <w:szCs w:val="18"/>
              </w:rPr>
              <w:t>over at least a five-year period (or, if the hedge fund has not been operating for five years, the returns since its inception)</w:t>
            </w:r>
            <w:r>
              <w:rPr>
                <w:rFonts w:ascii="Futura Heavy" w:hAnsi="Futura Heavy" w:cs="Futura"/>
                <w:sz w:val="18"/>
                <w:szCs w:val="18"/>
              </w:rPr>
              <w:t>] RG240;56</w:t>
            </w:r>
          </w:p>
        </w:tc>
        <w:tc>
          <w:tcPr>
            <w:tcW w:w="4819" w:type="dxa"/>
            <w:gridSpan w:val="2"/>
            <w:vAlign w:val="center"/>
          </w:tcPr>
          <w:p w14:paraId="0EA8C1D4" w14:textId="77777777" w:rsidR="00204048" w:rsidRPr="003F1D80" w:rsidRDefault="00204048" w:rsidP="004C2C8D">
            <w:pPr>
              <w:rPr>
                <w:rFonts w:ascii="Futura Heavy" w:hAnsi="Futura Heavy" w:cs="Futura"/>
                <w:sz w:val="18"/>
                <w:szCs w:val="18"/>
              </w:rPr>
            </w:pPr>
          </w:p>
          <w:p w14:paraId="36311917" w14:textId="3E7230B0" w:rsidR="004D1861" w:rsidRDefault="004D1861" w:rsidP="004D152A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Aug 2016:</w:t>
            </w:r>
            <w:r w:rsidR="003E28D7">
              <w:rPr>
                <w:rFonts w:ascii="Futura Heavy" w:hAnsi="Futura Heavy" w:cs="Futura"/>
                <w:sz w:val="18"/>
                <w:szCs w:val="18"/>
              </w:rPr>
              <w:t xml:space="preserve"> 3.24%</w:t>
            </w:r>
          </w:p>
          <w:p w14:paraId="2F33CEBD" w14:textId="3DC2A368" w:rsidR="004D1861" w:rsidRDefault="004D1861" w:rsidP="004D152A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Sept 2016:</w:t>
            </w:r>
            <w:r w:rsidR="003E28D7">
              <w:rPr>
                <w:rFonts w:ascii="Futura Heavy" w:hAnsi="Futura Heavy" w:cs="Futura"/>
                <w:sz w:val="18"/>
                <w:szCs w:val="18"/>
              </w:rPr>
              <w:t xml:space="preserve"> -1.25%</w:t>
            </w:r>
          </w:p>
          <w:p w14:paraId="718EFF59" w14:textId="6F03B3F4" w:rsidR="004D1861" w:rsidRDefault="004D1861" w:rsidP="004D152A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Oct 2016:</w:t>
            </w:r>
            <w:r w:rsidR="003E28D7">
              <w:rPr>
                <w:rFonts w:ascii="Futura Heavy" w:hAnsi="Futura Heavy" w:cs="Futura"/>
                <w:sz w:val="18"/>
                <w:szCs w:val="18"/>
              </w:rPr>
              <w:t xml:space="preserve"> -2.42%</w:t>
            </w:r>
          </w:p>
          <w:p w14:paraId="6AD10275" w14:textId="7C1B9C69" w:rsidR="00204048" w:rsidRPr="003F1D80" w:rsidRDefault="004D1861" w:rsidP="004D152A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Nov</w:t>
            </w:r>
            <w:r w:rsidR="00204048" w:rsidRPr="003F1D80">
              <w:rPr>
                <w:rFonts w:ascii="Futura Heavy" w:hAnsi="Futura Heavy" w:cs="Futura"/>
                <w:sz w:val="18"/>
                <w:szCs w:val="18"/>
              </w:rPr>
              <w:t xml:space="preserve"> 201</w:t>
            </w:r>
            <w:r w:rsidR="00204048">
              <w:rPr>
                <w:rFonts w:ascii="Futura Heavy" w:hAnsi="Futura Heavy" w:cs="Futura"/>
                <w:sz w:val="18"/>
                <w:szCs w:val="18"/>
              </w:rPr>
              <w:t>6</w:t>
            </w:r>
            <w:r w:rsidR="00204048" w:rsidRPr="003F1D80">
              <w:rPr>
                <w:rFonts w:ascii="Futura Heavy" w:hAnsi="Futura Heavy" w:cs="Futura"/>
                <w:sz w:val="18"/>
                <w:szCs w:val="18"/>
              </w:rPr>
              <w:t>:</w:t>
            </w:r>
            <w:r w:rsidR="003E28D7">
              <w:rPr>
                <w:rFonts w:ascii="Futura Heavy" w:hAnsi="Futura Heavy" w:cs="Futura"/>
                <w:sz w:val="18"/>
                <w:szCs w:val="18"/>
              </w:rPr>
              <w:t xml:space="preserve"> -0.36%</w:t>
            </w:r>
          </w:p>
          <w:p w14:paraId="77B66DAA" w14:textId="4A4C6340" w:rsidR="00204048" w:rsidRPr="003F1D80" w:rsidRDefault="00204048" w:rsidP="004C2C8D">
            <w:pPr>
              <w:rPr>
                <w:rFonts w:ascii="Futura Heavy" w:hAnsi="Futura Heavy" w:cs="Futura"/>
                <w:sz w:val="18"/>
                <w:szCs w:val="18"/>
              </w:rPr>
            </w:pPr>
            <w:r w:rsidRPr="003F1D80">
              <w:rPr>
                <w:rFonts w:ascii="Futura Heavy" w:hAnsi="Futura Heavy" w:cs="Futura"/>
                <w:sz w:val="18"/>
                <w:szCs w:val="18"/>
              </w:rPr>
              <w:t>Dec 201</w:t>
            </w:r>
            <w:r>
              <w:rPr>
                <w:rFonts w:ascii="Futura Heavy" w:hAnsi="Futura Heavy" w:cs="Futura"/>
                <w:sz w:val="18"/>
                <w:szCs w:val="18"/>
              </w:rPr>
              <w:t>6</w:t>
            </w:r>
            <w:r w:rsidRPr="003F1D80">
              <w:rPr>
                <w:rFonts w:ascii="Futura Heavy" w:hAnsi="Futura Heavy" w:cs="Futura"/>
                <w:sz w:val="18"/>
                <w:szCs w:val="18"/>
              </w:rPr>
              <w:t>:</w:t>
            </w:r>
            <w:r w:rsidR="003E28D7">
              <w:rPr>
                <w:rFonts w:ascii="Futura Heavy" w:hAnsi="Futura Heavy" w:cs="Futura"/>
                <w:sz w:val="18"/>
                <w:szCs w:val="18"/>
              </w:rPr>
              <w:t xml:space="preserve"> -3.82%</w:t>
            </w:r>
          </w:p>
          <w:p w14:paraId="0187A05A" w14:textId="6F8878DF" w:rsidR="00204048" w:rsidRPr="003F1D80" w:rsidRDefault="00204048" w:rsidP="004C2C8D">
            <w:pPr>
              <w:rPr>
                <w:rFonts w:ascii="Futura Heavy" w:hAnsi="Futura Heavy" w:cs="Futura"/>
                <w:sz w:val="18"/>
                <w:szCs w:val="18"/>
              </w:rPr>
            </w:pPr>
            <w:r w:rsidRPr="003F1D80">
              <w:rPr>
                <w:rFonts w:ascii="Futura Heavy" w:hAnsi="Futura Heavy" w:cs="Futura"/>
                <w:sz w:val="18"/>
                <w:szCs w:val="18"/>
              </w:rPr>
              <w:t>Jan 20</w:t>
            </w:r>
            <w:r>
              <w:rPr>
                <w:rFonts w:ascii="Futura Heavy" w:hAnsi="Futura Heavy" w:cs="Futura"/>
                <w:sz w:val="18"/>
                <w:szCs w:val="18"/>
              </w:rPr>
              <w:t>17</w:t>
            </w:r>
            <w:r w:rsidRPr="003F1D80">
              <w:rPr>
                <w:rFonts w:ascii="Futura Heavy" w:hAnsi="Futura Heavy" w:cs="Futura"/>
                <w:sz w:val="18"/>
                <w:szCs w:val="18"/>
              </w:rPr>
              <w:t>:</w:t>
            </w:r>
            <w:r w:rsidR="003E28D7">
              <w:rPr>
                <w:rFonts w:ascii="Futura Heavy" w:hAnsi="Futura Heavy" w:cs="Futura"/>
                <w:sz w:val="18"/>
                <w:szCs w:val="18"/>
              </w:rPr>
              <w:t xml:space="preserve"> 0.38%</w:t>
            </w:r>
          </w:p>
          <w:p w14:paraId="7D36D21B" w14:textId="6191EF0E" w:rsidR="00204048" w:rsidRPr="003F1D80" w:rsidRDefault="00204048" w:rsidP="004C2C8D">
            <w:pPr>
              <w:rPr>
                <w:rFonts w:ascii="Futura Heavy" w:hAnsi="Futura Heavy" w:cs="Futura"/>
                <w:sz w:val="18"/>
                <w:szCs w:val="18"/>
              </w:rPr>
            </w:pPr>
            <w:r w:rsidRPr="003F1D80">
              <w:rPr>
                <w:rFonts w:ascii="Futura Heavy" w:hAnsi="Futura Heavy" w:cs="Futura"/>
                <w:sz w:val="18"/>
                <w:szCs w:val="18"/>
              </w:rPr>
              <w:t xml:space="preserve">Feb </w:t>
            </w:r>
            <w:r>
              <w:rPr>
                <w:rFonts w:ascii="Futura Heavy" w:hAnsi="Futura Heavy" w:cs="Futura"/>
                <w:sz w:val="18"/>
                <w:szCs w:val="18"/>
              </w:rPr>
              <w:t>2017</w:t>
            </w:r>
            <w:r w:rsidRPr="003F1D80">
              <w:rPr>
                <w:rFonts w:ascii="Futura Heavy" w:hAnsi="Futura Heavy" w:cs="Futura"/>
                <w:sz w:val="18"/>
                <w:szCs w:val="18"/>
              </w:rPr>
              <w:t>:</w:t>
            </w:r>
            <w:r w:rsidR="003E28D7">
              <w:rPr>
                <w:rFonts w:ascii="Futura Heavy" w:hAnsi="Futura Heavy" w:cs="Futura"/>
                <w:sz w:val="18"/>
                <w:szCs w:val="18"/>
              </w:rPr>
              <w:t xml:space="preserve"> 1.87%</w:t>
            </w:r>
          </w:p>
          <w:p w14:paraId="13E2BABD" w14:textId="1143A4E2" w:rsidR="00204048" w:rsidRPr="003F1D80" w:rsidRDefault="003E28D7" w:rsidP="004C2C8D">
            <w:pPr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March 2017: -3.68%</w:t>
            </w:r>
          </w:p>
          <w:p w14:paraId="78FFF8CA" w14:textId="313DAD95" w:rsidR="00204048" w:rsidRPr="003F1D80" w:rsidRDefault="003E28D7" w:rsidP="004C2C8D">
            <w:pPr>
              <w:rPr>
                <w:rFonts w:ascii="Futura Heavy" w:hAnsi="Futura Heavy" w:cs="Futura"/>
                <w:sz w:val="18"/>
                <w:szCs w:val="18"/>
              </w:rPr>
            </w:pPr>
            <w:r w:rsidRPr="003F1D80">
              <w:rPr>
                <w:rFonts w:ascii="Futura Heavy" w:hAnsi="Futura Heavy" w:cs="Futura"/>
                <w:sz w:val="18"/>
                <w:szCs w:val="18"/>
              </w:rPr>
              <w:t xml:space="preserve">April </w:t>
            </w:r>
            <w:r>
              <w:rPr>
                <w:rFonts w:ascii="Futura Heavy" w:hAnsi="Futura Heavy" w:cs="Futura"/>
                <w:sz w:val="18"/>
                <w:szCs w:val="18"/>
              </w:rPr>
              <w:t>2017</w:t>
            </w:r>
            <w:r w:rsidRPr="003F1D80">
              <w:rPr>
                <w:rFonts w:ascii="Futura Heavy" w:hAnsi="Futura Heavy" w:cs="Futura"/>
                <w:sz w:val="18"/>
                <w:szCs w:val="18"/>
              </w:rPr>
              <w:t>:</w:t>
            </w:r>
            <w:r>
              <w:rPr>
                <w:rFonts w:ascii="Futura Heavy" w:hAnsi="Futura Heavy" w:cs="Futura"/>
                <w:sz w:val="18"/>
                <w:szCs w:val="18"/>
              </w:rPr>
              <w:t xml:space="preserve"> 0.31%</w:t>
            </w:r>
          </w:p>
          <w:p w14:paraId="6588964E" w14:textId="555F955F" w:rsidR="00204048" w:rsidRPr="003F1D80" w:rsidRDefault="00204048" w:rsidP="004C2C8D">
            <w:pPr>
              <w:rPr>
                <w:rFonts w:ascii="Futura Heavy" w:hAnsi="Futura Heavy" w:cs="Futura"/>
                <w:sz w:val="18"/>
                <w:szCs w:val="18"/>
              </w:rPr>
            </w:pPr>
            <w:r w:rsidRPr="003F1D80">
              <w:rPr>
                <w:rFonts w:ascii="Futura Heavy" w:hAnsi="Futura Heavy" w:cs="Futura"/>
                <w:sz w:val="18"/>
                <w:szCs w:val="18"/>
              </w:rPr>
              <w:t xml:space="preserve">May </w:t>
            </w:r>
            <w:r w:rsidR="003E28D7" w:rsidRPr="003F1D80">
              <w:rPr>
                <w:rFonts w:ascii="Futura Heavy" w:hAnsi="Futura Heavy" w:cs="Futura"/>
                <w:sz w:val="18"/>
                <w:szCs w:val="18"/>
              </w:rPr>
              <w:t>20</w:t>
            </w:r>
            <w:r w:rsidR="003E28D7">
              <w:rPr>
                <w:rFonts w:ascii="Futura Heavy" w:hAnsi="Futura Heavy" w:cs="Futura"/>
                <w:sz w:val="18"/>
                <w:szCs w:val="18"/>
              </w:rPr>
              <w:t>17</w:t>
            </w:r>
            <w:r w:rsidR="003E28D7" w:rsidRPr="003F1D80">
              <w:rPr>
                <w:rFonts w:ascii="Futura Heavy" w:hAnsi="Futura Heavy" w:cs="Futura"/>
                <w:sz w:val="18"/>
                <w:szCs w:val="18"/>
              </w:rPr>
              <w:t>:</w:t>
            </w:r>
            <w:r w:rsidR="003E28D7">
              <w:rPr>
                <w:rFonts w:ascii="Futura Heavy" w:hAnsi="Futura Heavy" w:cs="Futura"/>
                <w:sz w:val="18"/>
                <w:szCs w:val="18"/>
              </w:rPr>
              <w:t xml:space="preserve"> -0.52%</w:t>
            </w:r>
          </w:p>
          <w:p w14:paraId="3CAF6C66" w14:textId="4B4260AC" w:rsidR="00204048" w:rsidRPr="003F1D80" w:rsidRDefault="003E28D7" w:rsidP="004C2C8D">
            <w:pPr>
              <w:rPr>
                <w:rFonts w:ascii="Futura Heavy" w:hAnsi="Futura Heavy" w:cs="Futura"/>
                <w:sz w:val="18"/>
                <w:szCs w:val="18"/>
              </w:rPr>
            </w:pPr>
            <w:r w:rsidRPr="003F1D80">
              <w:rPr>
                <w:rFonts w:ascii="Futura Heavy" w:hAnsi="Futura Heavy" w:cs="Futura"/>
                <w:sz w:val="18"/>
                <w:szCs w:val="18"/>
              </w:rPr>
              <w:t>June 2017:</w:t>
            </w:r>
            <w:r w:rsidR="00204048" w:rsidRPr="003F1D80">
              <w:rPr>
                <w:rFonts w:ascii="Futura Heavy" w:hAnsi="Futura Heavy" w:cs="Futura"/>
                <w:sz w:val="18"/>
                <w:szCs w:val="18"/>
              </w:rPr>
              <w:t xml:space="preserve"> </w:t>
            </w:r>
            <w:r>
              <w:rPr>
                <w:rFonts w:ascii="Futura Heavy" w:hAnsi="Futura Heavy" w:cs="Futura"/>
                <w:sz w:val="18"/>
                <w:szCs w:val="18"/>
              </w:rPr>
              <w:t>-1.38%</w:t>
            </w:r>
          </w:p>
          <w:p w14:paraId="0EEFB450" w14:textId="68FD4455" w:rsidR="00204048" w:rsidRPr="003F1D80" w:rsidRDefault="003E28D7" w:rsidP="004C2C8D">
            <w:pPr>
              <w:rPr>
                <w:rFonts w:ascii="Futura Heavy" w:hAnsi="Futura Heavy" w:cs="Futura"/>
                <w:sz w:val="18"/>
                <w:szCs w:val="18"/>
              </w:rPr>
            </w:pPr>
            <w:r w:rsidRPr="003F1D80">
              <w:rPr>
                <w:rFonts w:ascii="Futura Heavy" w:hAnsi="Futura Heavy" w:cs="Futura"/>
                <w:sz w:val="18"/>
                <w:szCs w:val="18"/>
              </w:rPr>
              <w:t>July 2017</w:t>
            </w:r>
            <w:r w:rsidR="00204048" w:rsidRPr="003F1D80">
              <w:rPr>
                <w:rFonts w:ascii="Futura Heavy" w:hAnsi="Futura Heavy" w:cs="Futura"/>
                <w:sz w:val="18"/>
                <w:szCs w:val="18"/>
              </w:rPr>
              <w:t xml:space="preserve">: </w:t>
            </w:r>
            <w:r>
              <w:rPr>
                <w:rFonts w:ascii="Futura Heavy" w:hAnsi="Futura Heavy" w:cs="Futura"/>
                <w:sz w:val="18"/>
                <w:szCs w:val="18"/>
              </w:rPr>
              <w:t>-4.72%</w:t>
            </w:r>
          </w:p>
          <w:p w14:paraId="4D1E87C7" w14:textId="32C48590" w:rsidR="00204048" w:rsidRPr="003F1D80" w:rsidRDefault="003E28D7" w:rsidP="004C2C8D">
            <w:pPr>
              <w:rPr>
                <w:rFonts w:ascii="Futura Heavy" w:hAnsi="Futura Heavy" w:cs="Futura"/>
                <w:sz w:val="18"/>
                <w:szCs w:val="18"/>
              </w:rPr>
            </w:pPr>
            <w:r w:rsidRPr="003F1D80">
              <w:rPr>
                <w:rFonts w:ascii="Futura Heavy" w:hAnsi="Futura Heavy" w:cs="Futura"/>
                <w:sz w:val="18"/>
                <w:szCs w:val="18"/>
              </w:rPr>
              <w:t>Aug</w:t>
            </w:r>
            <w:r>
              <w:rPr>
                <w:rFonts w:ascii="Futura Heavy" w:hAnsi="Futura Heavy" w:cs="Futura"/>
                <w:sz w:val="18"/>
                <w:szCs w:val="18"/>
              </w:rPr>
              <w:t xml:space="preserve"> 2017</w:t>
            </w:r>
            <w:r w:rsidR="00204048" w:rsidRPr="003F1D80">
              <w:rPr>
                <w:rFonts w:ascii="Futura Heavy" w:hAnsi="Futura Heavy" w:cs="Futura"/>
                <w:sz w:val="18"/>
                <w:szCs w:val="18"/>
              </w:rPr>
              <w:t>:</w:t>
            </w:r>
            <w:r>
              <w:rPr>
                <w:rFonts w:ascii="Futura Heavy" w:hAnsi="Futura Heavy" w:cs="Futura"/>
                <w:sz w:val="18"/>
                <w:szCs w:val="18"/>
              </w:rPr>
              <w:t xml:space="preserve"> 4.08%</w:t>
            </w:r>
          </w:p>
          <w:p w14:paraId="270C18AC" w14:textId="2405E77B" w:rsidR="00204048" w:rsidRPr="003F1D80" w:rsidRDefault="00204048" w:rsidP="004C2C8D">
            <w:pPr>
              <w:rPr>
                <w:rFonts w:ascii="Futura Heavy" w:hAnsi="Futura Heavy" w:cs="Futura"/>
                <w:sz w:val="18"/>
                <w:szCs w:val="18"/>
              </w:rPr>
            </w:pPr>
            <w:r w:rsidRPr="003F1D80">
              <w:rPr>
                <w:rFonts w:ascii="Futura Heavy" w:hAnsi="Futura Heavy" w:cs="Futura"/>
                <w:sz w:val="18"/>
                <w:szCs w:val="18"/>
              </w:rPr>
              <w:t xml:space="preserve">  </w:t>
            </w:r>
          </w:p>
          <w:p w14:paraId="0CC552AE" w14:textId="3B7E1256" w:rsidR="00204048" w:rsidRPr="003F1D80" w:rsidRDefault="00204048" w:rsidP="005961CC">
            <w:pPr>
              <w:rPr>
                <w:rFonts w:ascii="Futura Heavy" w:hAnsi="Futura Heavy" w:cs="Futura"/>
                <w:sz w:val="18"/>
                <w:szCs w:val="18"/>
              </w:rPr>
            </w:pPr>
          </w:p>
          <w:p w14:paraId="60A00048" w14:textId="5F5F5D06" w:rsidR="00204048" w:rsidRPr="003F1D80" w:rsidRDefault="00204048" w:rsidP="004C2C8D">
            <w:pPr>
              <w:rPr>
                <w:rFonts w:ascii="Futura Heavy" w:hAnsi="Futura Heavy" w:cs="Futura"/>
                <w:sz w:val="18"/>
                <w:szCs w:val="18"/>
              </w:rPr>
            </w:pPr>
          </w:p>
        </w:tc>
      </w:tr>
      <w:tr w:rsidR="00204048" w:rsidRPr="004E6584" w14:paraId="690E743D" w14:textId="77777777" w:rsidTr="00B14AF0">
        <w:trPr>
          <w:trHeight w:val="723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2A875DD4" w14:textId="15E6FF9B" w:rsidR="00204048" w:rsidRPr="003F1D80" w:rsidRDefault="00204048" w:rsidP="0010552A">
            <w:pPr>
              <w:pStyle w:val="Default"/>
              <w:rPr>
                <w:b/>
                <w:color w:val="211D1E"/>
                <w:sz w:val="18"/>
                <w:szCs w:val="18"/>
              </w:rPr>
            </w:pPr>
            <w:r w:rsidRPr="003F1D80">
              <w:rPr>
                <w:b/>
                <w:color w:val="211D1E"/>
                <w:sz w:val="18"/>
                <w:szCs w:val="18"/>
              </w:rPr>
              <w:t xml:space="preserve">Any changes to key service providers including </w:t>
            </w:r>
            <w:r w:rsidRPr="003F1D80">
              <w:rPr>
                <w:b/>
                <w:color w:val="211D1E"/>
                <w:sz w:val="18"/>
                <w:szCs w:val="18"/>
              </w:rPr>
              <w:br/>
              <w:t>any change in related party status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26275D4B" w14:textId="51141682" w:rsidR="00204048" w:rsidRPr="004D152A" w:rsidRDefault="00204048" w:rsidP="004D152A">
            <w:pPr>
              <w:rPr>
                <w:rFonts w:ascii="Futura Medium" w:hAnsi="Futura Medium" w:cs="Futura"/>
                <w:sz w:val="16"/>
                <w:szCs w:val="16"/>
              </w:rPr>
            </w:pPr>
            <w:r w:rsidRPr="004D152A">
              <w:rPr>
                <w:rFonts w:ascii="Futura Medium" w:hAnsi="Futura Medium" w:cs="Futura"/>
                <w:sz w:val="16"/>
                <w:szCs w:val="16"/>
              </w:rPr>
              <w:t>N/A</w:t>
            </w:r>
          </w:p>
        </w:tc>
      </w:tr>
      <w:tr w:rsidR="00204048" w:rsidRPr="0051115C" w14:paraId="5E4BBC64" w14:textId="77777777" w:rsidTr="0010552A">
        <w:trPr>
          <w:gridAfter w:val="1"/>
          <w:wAfter w:w="2646" w:type="dxa"/>
          <w:trHeight w:val="2588"/>
        </w:trPr>
        <w:tc>
          <w:tcPr>
            <w:tcW w:w="3119" w:type="dxa"/>
            <w:tcBorders>
              <w:top w:val="single" w:sz="12" w:space="0" w:color="E5001C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72C430" w14:textId="77777777" w:rsidR="00204048" w:rsidRPr="0051115C" w:rsidRDefault="00204048" w:rsidP="0051115C">
            <w:pPr>
              <w:spacing w:line="276" w:lineRule="auto"/>
              <w:rPr>
                <w:rFonts w:ascii="Georgia" w:hAnsi="Georgia" w:cs="Futura"/>
                <w:color w:val="E5001C"/>
                <w:sz w:val="16"/>
                <w:szCs w:val="16"/>
              </w:rPr>
            </w:pPr>
          </w:p>
          <w:p w14:paraId="10DD3697" w14:textId="77777777" w:rsidR="00204048" w:rsidRDefault="00204048" w:rsidP="0056615B">
            <w:pPr>
              <w:spacing w:line="276" w:lineRule="auto"/>
              <w:rPr>
                <w:rFonts w:ascii="Georgia" w:hAnsi="Georgia" w:cs="Futura"/>
                <w:color w:val="E5001C"/>
                <w:sz w:val="20"/>
                <w:szCs w:val="20"/>
              </w:rPr>
            </w:pPr>
            <w:r>
              <w:rPr>
                <w:rFonts w:ascii="Georgia" w:hAnsi="Georgia" w:cs="Futura"/>
                <w:color w:val="E5001C"/>
                <w:sz w:val="20"/>
                <w:szCs w:val="20"/>
              </w:rPr>
              <w:t>Advisers, R</w:t>
            </w:r>
            <w:r w:rsidRPr="0051115C">
              <w:rPr>
                <w:rFonts w:ascii="Georgia" w:hAnsi="Georgia" w:cs="Futura"/>
                <w:color w:val="E5001C"/>
                <w:sz w:val="20"/>
                <w:szCs w:val="20"/>
              </w:rPr>
              <w:t>ese</w:t>
            </w:r>
            <w:r>
              <w:rPr>
                <w:rFonts w:ascii="Georgia" w:hAnsi="Georgia" w:cs="Futura"/>
                <w:color w:val="E5001C"/>
                <w:sz w:val="20"/>
                <w:szCs w:val="20"/>
              </w:rPr>
              <w:t>archers and P</w:t>
            </w:r>
            <w:r w:rsidRPr="0051115C">
              <w:rPr>
                <w:rFonts w:ascii="Georgia" w:hAnsi="Georgia" w:cs="Futura"/>
                <w:color w:val="E5001C"/>
                <w:sz w:val="20"/>
                <w:szCs w:val="20"/>
              </w:rPr>
              <w:t>latforms</w:t>
            </w:r>
          </w:p>
          <w:p w14:paraId="1183E778" w14:textId="77777777" w:rsidR="00204048" w:rsidRDefault="00204048" w:rsidP="0056615B">
            <w:pPr>
              <w:spacing w:line="276" w:lineRule="auto"/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Scott Phillips, Head of Distribution</w:t>
            </w:r>
          </w:p>
          <w:p w14:paraId="0C53AB4E" w14:textId="77777777" w:rsidR="00204048" w:rsidRDefault="00204048" w:rsidP="0056615B">
            <w:pPr>
              <w:spacing w:line="276" w:lineRule="auto"/>
              <w:rPr>
                <w:rFonts w:ascii="Futura Medium" w:hAnsi="Futura Medium" w:cs="Futura"/>
                <w:sz w:val="18"/>
                <w:szCs w:val="18"/>
              </w:rPr>
            </w:pPr>
            <w:r>
              <w:rPr>
                <w:rFonts w:ascii="Futura Medium" w:hAnsi="Futura Medium" w:cs="Futura"/>
                <w:sz w:val="18"/>
                <w:szCs w:val="18"/>
              </w:rPr>
              <w:t>Telephone: +61 2 8046 5005</w:t>
            </w:r>
          </w:p>
          <w:p w14:paraId="00DF9878" w14:textId="77777777" w:rsidR="00204048" w:rsidRPr="0051115C" w:rsidRDefault="00204048" w:rsidP="0056615B">
            <w:pPr>
              <w:spacing w:line="276" w:lineRule="auto"/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Medium" w:hAnsi="Futura Medium" w:cs="Futura"/>
                <w:sz w:val="18"/>
                <w:szCs w:val="18"/>
              </w:rPr>
              <w:t>Email: sphillips@montinvest.com</w:t>
            </w:r>
          </w:p>
        </w:tc>
        <w:tc>
          <w:tcPr>
            <w:tcW w:w="3307" w:type="dxa"/>
            <w:gridSpan w:val="2"/>
            <w:tcBorders>
              <w:top w:val="single" w:sz="12" w:space="0" w:color="E5001C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E8F1DD" w14:textId="77777777" w:rsidR="00204048" w:rsidRDefault="00204048" w:rsidP="0056615B">
            <w:pPr>
              <w:spacing w:line="276" w:lineRule="auto"/>
              <w:rPr>
                <w:rFonts w:ascii="Georgia" w:hAnsi="Georgia" w:cs="Futura"/>
                <w:color w:val="E5001C"/>
                <w:sz w:val="16"/>
                <w:szCs w:val="16"/>
              </w:rPr>
            </w:pPr>
          </w:p>
          <w:p w14:paraId="2F935C97" w14:textId="77777777" w:rsidR="00204048" w:rsidRDefault="00204048" w:rsidP="0056615B">
            <w:pPr>
              <w:spacing w:line="276" w:lineRule="auto"/>
              <w:rPr>
                <w:rFonts w:ascii="Georgia" w:hAnsi="Georgia" w:cs="Futura"/>
                <w:color w:val="E5001C"/>
                <w:sz w:val="20"/>
                <w:szCs w:val="20"/>
              </w:rPr>
            </w:pPr>
            <w:r w:rsidRPr="0051115C">
              <w:rPr>
                <w:rFonts w:ascii="Georgia" w:hAnsi="Georgia" w:cs="Futura"/>
                <w:color w:val="E5001C"/>
                <w:sz w:val="20"/>
                <w:szCs w:val="20"/>
              </w:rPr>
              <w:t>Investors</w:t>
            </w:r>
            <w:r>
              <w:rPr>
                <w:rFonts w:ascii="Georgia" w:hAnsi="Georgia" w:cs="Futura"/>
                <w:color w:val="E5001C"/>
                <w:sz w:val="20"/>
                <w:szCs w:val="20"/>
              </w:rPr>
              <w:br/>
            </w:r>
          </w:p>
          <w:p w14:paraId="4353DFC4" w14:textId="77777777" w:rsidR="00204048" w:rsidRDefault="00204048" w:rsidP="0056615B">
            <w:pPr>
              <w:spacing w:line="276" w:lineRule="auto"/>
              <w:rPr>
                <w:rFonts w:ascii="Futura Heavy" w:hAnsi="Futura Heavy" w:cs="Futura"/>
                <w:sz w:val="18"/>
                <w:szCs w:val="18"/>
              </w:rPr>
            </w:pPr>
            <w:r>
              <w:rPr>
                <w:rFonts w:ascii="Futura Heavy" w:hAnsi="Futura Heavy" w:cs="Futura"/>
                <w:sz w:val="18"/>
                <w:szCs w:val="18"/>
              </w:rPr>
              <w:t>David Buckland, Chief Executive Officer</w:t>
            </w:r>
          </w:p>
          <w:p w14:paraId="03BC284D" w14:textId="77777777" w:rsidR="00204048" w:rsidRDefault="00204048" w:rsidP="0056615B">
            <w:pPr>
              <w:spacing w:line="276" w:lineRule="auto"/>
              <w:rPr>
                <w:rFonts w:ascii="Futura Medium" w:hAnsi="Futura Medium" w:cs="Futura"/>
                <w:sz w:val="18"/>
                <w:szCs w:val="18"/>
              </w:rPr>
            </w:pPr>
            <w:r>
              <w:rPr>
                <w:rFonts w:ascii="Futura Medium" w:hAnsi="Futura Medium" w:cs="Futura"/>
                <w:sz w:val="18"/>
                <w:szCs w:val="18"/>
              </w:rPr>
              <w:t>Telephone: +61 2 8046 5000</w:t>
            </w:r>
          </w:p>
          <w:p w14:paraId="6462D5B5" w14:textId="77777777" w:rsidR="00204048" w:rsidRPr="0051115C" w:rsidRDefault="00204048" w:rsidP="0056615B">
            <w:pPr>
              <w:rPr>
                <w:rFonts w:ascii="Georgia" w:hAnsi="Georgia" w:cs="Futura"/>
                <w:color w:val="E5001C"/>
                <w:sz w:val="16"/>
                <w:szCs w:val="16"/>
              </w:rPr>
            </w:pPr>
            <w:r>
              <w:rPr>
                <w:rFonts w:ascii="Futura Medium" w:hAnsi="Futura Medium" w:cs="Futura"/>
                <w:sz w:val="18"/>
                <w:szCs w:val="18"/>
              </w:rPr>
              <w:t>Email: dbuckland@montinvest.com</w:t>
            </w:r>
          </w:p>
        </w:tc>
      </w:tr>
    </w:tbl>
    <w:p w14:paraId="1A871EB9" w14:textId="77777777" w:rsidR="006E77C6" w:rsidRPr="002854F1" w:rsidRDefault="006E77C6" w:rsidP="00992C51">
      <w:pPr>
        <w:rPr>
          <w:rFonts w:ascii="Futura" w:hAnsi="Futura" w:cs="Futura"/>
          <w:sz w:val="20"/>
          <w:szCs w:val="20"/>
        </w:rPr>
      </w:pPr>
    </w:p>
    <w:sectPr w:rsidR="006E77C6" w:rsidRPr="002854F1" w:rsidSect="00204048">
      <w:headerReference w:type="first" r:id="rId9"/>
      <w:pgSz w:w="11906" w:h="16838"/>
      <w:pgMar w:top="1134" w:right="1134" w:bottom="284" w:left="1134" w:header="2126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F801" w14:textId="77777777" w:rsidR="00981543" w:rsidRDefault="00981543" w:rsidP="00934C01">
      <w:pPr>
        <w:spacing w:after="0" w:line="240" w:lineRule="auto"/>
      </w:pPr>
      <w:r>
        <w:separator/>
      </w:r>
    </w:p>
  </w:endnote>
  <w:endnote w:type="continuationSeparator" w:id="0">
    <w:p w14:paraId="57848012" w14:textId="77777777" w:rsidR="00981543" w:rsidRDefault="00981543" w:rsidP="0093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kswagen Copy">
    <w:charset w:val="00"/>
    <w:family w:val="auto"/>
    <w:pitch w:val="variable"/>
    <w:sig w:usb0="00000003" w:usb1="00000000" w:usb2="00000000" w:usb3="00000000" w:csb0="00000001" w:csb1="00000000"/>
  </w:font>
  <w:font w:name="Futur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Heavy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B527" w14:textId="77777777" w:rsidR="00981543" w:rsidRDefault="00981543" w:rsidP="00934C01">
      <w:pPr>
        <w:spacing w:after="0" w:line="240" w:lineRule="auto"/>
      </w:pPr>
      <w:r>
        <w:separator/>
      </w:r>
    </w:p>
  </w:footnote>
  <w:footnote w:type="continuationSeparator" w:id="0">
    <w:p w14:paraId="44E18714" w14:textId="77777777" w:rsidR="00981543" w:rsidRDefault="00981543" w:rsidP="0093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67B7" w14:textId="0DACA8D3" w:rsidR="00CB4413" w:rsidRPr="00204048" w:rsidRDefault="00CB4413">
    <w:pPr>
      <w:pStyle w:val="Header"/>
      <w:rPr>
        <w:color w:val="FF0000"/>
        <w:sz w:val="40"/>
        <w:szCs w:val="40"/>
      </w:rPr>
    </w:pPr>
    <w:bookmarkStart w:id="1" w:name="_MacBuGuideStaticData_1100V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58C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232D6"/>
    <w:multiLevelType w:val="hybridMultilevel"/>
    <w:tmpl w:val="F354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6C4B"/>
    <w:multiLevelType w:val="hybridMultilevel"/>
    <w:tmpl w:val="A472309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8D0C8B"/>
    <w:multiLevelType w:val="hybridMultilevel"/>
    <w:tmpl w:val="ADCC102A"/>
    <w:lvl w:ilvl="0" w:tplc="9EE67B88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74C74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A30EE"/>
    <w:multiLevelType w:val="hybridMultilevel"/>
    <w:tmpl w:val="B6BE0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E4825"/>
    <w:multiLevelType w:val="hybridMultilevel"/>
    <w:tmpl w:val="DF8CA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00287"/>
    <w:multiLevelType w:val="hybridMultilevel"/>
    <w:tmpl w:val="47E453FA"/>
    <w:lvl w:ilvl="0" w:tplc="BDE81EE8">
      <w:start w:val="1"/>
      <w:numFmt w:val="bullet"/>
      <w:lvlText w:val="-"/>
      <w:lvlJc w:val="left"/>
      <w:pPr>
        <w:ind w:left="584" w:hanging="227"/>
      </w:pPr>
      <w:rPr>
        <w:rFonts w:ascii="Courier" w:hAnsi="Courier" w:hint="default"/>
        <w:b/>
        <w:bCs/>
        <w:i w:val="0"/>
        <w:iCs w:val="0"/>
        <w:color w:val="74C74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4E"/>
    <w:rsid w:val="00017644"/>
    <w:rsid w:val="0003160B"/>
    <w:rsid w:val="00036A37"/>
    <w:rsid w:val="00041BA0"/>
    <w:rsid w:val="00061511"/>
    <w:rsid w:val="00075C53"/>
    <w:rsid w:val="000962A9"/>
    <w:rsid w:val="000A1933"/>
    <w:rsid w:val="000A1A1B"/>
    <w:rsid w:val="000B518B"/>
    <w:rsid w:val="000F4CB5"/>
    <w:rsid w:val="00103F78"/>
    <w:rsid w:val="00104688"/>
    <w:rsid w:val="0010552A"/>
    <w:rsid w:val="00121082"/>
    <w:rsid w:val="0013488B"/>
    <w:rsid w:val="00141C68"/>
    <w:rsid w:val="001643BD"/>
    <w:rsid w:val="001809B0"/>
    <w:rsid w:val="00182774"/>
    <w:rsid w:val="00191292"/>
    <w:rsid w:val="001A57E8"/>
    <w:rsid w:val="001C37C9"/>
    <w:rsid w:val="001C3F32"/>
    <w:rsid w:val="001C65C4"/>
    <w:rsid w:val="001C6667"/>
    <w:rsid w:val="00201AD9"/>
    <w:rsid w:val="00203290"/>
    <w:rsid w:val="00204048"/>
    <w:rsid w:val="00224C35"/>
    <w:rsid w:val="002823A3"/>
    <w:rsid w:val="002854F1"/>
    <w:rsid w:val="002C2921"/>
    <w:rsid w:val="002C36DC"/>
    <w:rsid w:val="002E3ED3"/>
    <w:rsid w:val="002F5176"/>
    <w:rsid w:val="002F5D4D"/>
    <w:rsid w:val="00304048"/>
    <w:rsid w:val="00306716"/>
    <w:rsid w:val="00343E4B"/>
    <w:rsid w:val="003516B1"/>
    <w:rsid w:val="00351A5B"/>
    <w:rsid w:val="00360D05"/>
    <w:rsid w:val="00365558"/>
    <w:rsid w:val="00367FA7"/>
    <w:rsid w:val="0039492F"/>
    <w:rsid w:val="003D1CA4"/>
    <w:rsid w:val="003D76DB"/>
    <w:rsid w:val="003E16B6"/>
    <w:rsid w:val="003E28D7"/>
    <w:rsid w:val="003F1D80"/>
    <w:rsid w:val="00422460"/>
    <w:rsid w:val="00425FB8"/>
    <w:rsid w:val="00435BD1"/>
    <w:rsid w:val="00436AA0"/>
    <w:rsid w:val="0044376E"/>
    <w:rsid w:val="00480AAA"/>
    <w:rsid w:val="004875A8"/>
    <w:rsid w:val="004B3101"/>
    <w:rsid w:val="004C0E10"/>
    <w:rsid w:val="004C2C8D"/>
    <w:rsid w:val="004D152A"/>
    <w:rsid w:val="004D1861"/>
    <w:rsid w:val="004E48F9"/>
    <w:rsid w:val="004E6584"/>
    <w:rsid w:val="004F38ED"/>
    <w:rsid w:val="00504841"/>
    <w:rsid w:val="00505C63"/>
    <w:rsid w:val="0051115C"/>
    <w:rsid w:val="00523D57"/>
    <w:rsid w:val="005372D5"/>
    <w:rsid w:val="00547152"/>
    <w:rsid w:val="00563E6C"/>
    <w:rsid w:val="0056615B"/>
    <w:rsid w:val="005668FC"/>
    <w:rsid w:val="00570979"/>
    <w:rsid w:val="00580A5A"/>
    <w:rsid w:val="005917E2"/>
    <w:rsid w:val="005961CC"/>
    <w:rsid w:val="005A4E5B"/>
    <w:rsid w:val="005F48B1"/>
    <w:rsid w:val="00637CDF"/>
    <w:rsid w:val="00641029"/>
    <w:rsid w:val="00642BA3"/>
    <w:rsid w:val="00661C73"/>
    <w:rsid w:val="00672BE6"/>
    <w:rsid w:val="006A3222"/>
    <w:rsid w:val="006A3424"/>
    <w:rsid w:val="006B01EF"/>
    <w:rsid w:val="006C31A9"/>
    <w:rsid w:val="006C7696"/>
    <w:rsid w:val="006D2938"/>
    <w:rsid w:val="006E77C6"/>
    <w:rsid w:val="006F6DFA"/>
    <w:rsid w:val="007137F2"/>
    <w:rsid w:val="00737165"/>
    <w:rsid w:val="00742662"/>
    <w:rsid w:val="00745C35"/>
    <w:rsid w:val="00755E7F"/>
    <w:rsid w:val="007C5892"/>
    <w:rsid w:val="007E033E"/>
    <w:rsid w:val="007E4E6D"/>
    <w:rsid w:val="007F60AB"/>
    <w:rsid w:val="00801855"/>
    <w:rsid w:val="008035CA"/>
    <w:rsid w:val="00803A60"/>
    <w:rsid w:val="00836CB4"/>
    <w:rsid w:val="008432EB"/>
    <w:rsid w:val="008573E0"/>
    <w:rsid w:val="00865837"/>
    <w:rsid w:val="00875045"/>
    <w:rsid w:val="00876B1B"/>
    <w:rsid w:val="0089520A"/>
    <w:rsid w:val="008A054A"/>
    <w:rsid w:val="008A4E3F"/>
    <w:rsid w:val="008B600B"/>
    <w:rsid w:val="008D19FE"/>
    <w:rsid w:val="008D2240"/>
    <w:rsid w:val="00900455"/>
    <w:rsid w:val="009121A2"/>
    <w:rsid w:val="00927D4D"/>
    <w:rsid w:val="00934C01"/>
    <w:rsid w:val="00946398"/>
    <w:rsid w:val="00981543"/>
    <w:rsid w:val="00992C51"/>
    <w:rsid w:val="009A0A32"/>
    <w:rsid w:val="009C24E2"/>
    <w:rsid w:val="009C74B6"/>
    <w:rsid w:val="009D2C55"/>
    <w:rsid w:val="009D628C"/>
    <w:rsid w:val="00A25205"/>
    <w:rsid w:val="00A26B09"/>
    <w:rsid w:val="00A3599B"/>
    <w:rsid w:val="00A90804"/>
    <w:rsid w:val="00AA2340"/>
    <w:rsid w:val="00AC7CF4"/>
    <w:rsid w:val="00AE6D9B"/>
    <w:rsid w:val="00B00412"/>
    <w:rsid w:val="00B02EBF"/>
    <w:rsid w:val="00B079FC"/>
    <w:rsid w:val="00B14AF0"/>
    <w:rsid w:val="00B21201"/>
    <w:rsid w:val="00B304E0"/>
    <w:rsid w:val="00B433DD"/>
    <w:rsid w:val="00B51059"/>
    <w:rsid w:val="00B5650A"/>
    <w:rsid w:val="00B709FF"/>
    <w:rsid w:val="00B81700"/>
    <w:rsid w:val="00B96B02"/>
    <w:rsid w:val="00BA2A28"/>
    <w:rsid w:val="00BE54B4"/>
    <w:rsid w:val="00BF3C5A"/>
    <w:rsid w:val="00C43D7A"/>
    <w:rsid w:val="00C566EB"/>
    <w:rsid w:val="00CB4413"/>
    <w:rsid w:val="00CB536E"/>
    <w:rsid w:val="00CB5C4E"/>
    <w:rsid w:val="00D00B45"/>
    <w:rsid w:val="00D017DC"/>
    <w:rsid w:val="00D03CD3"/>
    <w:rsid w:val="00D16000"/>
    <w:rsid w:val="00D2357A"/>
    <w:rsid w:val="00D40D15"/>
    <w:rsid w:val="00D4211B"/>
    <w:rsid w:val="00D508CD"/>
    <w:rsid w:val="00D67660"/>
    <w:rsid w:val="00D93708"/>
    <w:rsid w:val="00D95E56"/>
    <w:rsid w:val="00DA4008"/>
    <w:rsid w:val="00DA4919"/>
    <w:rsid w:val="00DA78D5"/>
    <w:rsid w:val="00DB6E60"/>
    <w:rsid w:val="00DC4C1B"/>
    <w:rsid w:val="00DC52F4"/>
    <w:rsid w:val="00DF7B3A"/>
    <w:rsid w:val="00E43F52"/>
    <w:rsid w:val="00E503D3"/>
    <w:rsid w:val="00E77507"/>
    <w:rsid w:val="00E81C47"/>
    <w:rsid w:val="00E82EE8"/>
    <w:rsid w:val="00EB0277"/>
    <w:rsid w:val="00EB2832"/>
    <w:rsid w:val="00EB7972"/>
    <w:rsid w:val="00EC6592"/>
    <w:rsid w:val="00EF034E"/>
    <w:rsid w:val="00F04071"/>
    <w:rsid w:val="00F04810"/>
    <w:rsid w:val="00F344A1"/>
    <w:rsid w:val="00F42B82"/>
    <w:rsid w:val="00F640A4"/>
    <w:rsid w:val="00F66A5B"/>
    <w:rsid w:val="00F76F75"/>
    <w:rsid w:val="00FC5F0A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DBA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A4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01"/>
  </w:style>
  <w:style w:type="paragraph" w:styleId="Footer">
    <w:name w:val="footer"/>
    <w:basedOn w:val="Normal"/>
    <w:link w:val="FooterChar"/>
    <w:uiPriority w:val="99"/>
    <w:unhideWhenUsed/>
    <w:rsid w:val="0093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01"/>
  </w:style>
  <w:style w:type="paragraph" w:styleId="BalloonText">
    <w:name w:val="Balloon Text"/>
    <w:basedOn w:val="Normal"/>
    <w:link w:val="BalloonTextChar"/>
    <w:uiPriority w:val="99"/>
    <w:semiHidden/>
    <w:unhideWhenUsed/>
    <w:rsid w:val="0093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5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15C"/>
    <w:rPr>
      <w:color w:val="0000FF" w:themeColor="hyperlink"/>
      <w:u w:val="single"/>
    </w:rPr>
  </w:style>
  <w:style w:type="paragraph" w:customStyle="1" w:styleId="Default">
    <w:name w:val="Default"/>
    <w:rsid w:val="0010552A"/>
    <w:pPr>
      <w:autoSpaceDE w:val="0"/>
      <w:autoSpaceDN w:val="0"/>
      <w:adjustRightInd w:val="0"/>
      <w:spacing w:after="0" w:line="240" w:lineRule="auto"/>
    </w:pPr>
    <w:rPr>
      <w:rFonts w:ascii="Volkswagen Copy" w:hAnsi="Volkswagen Copy" w:cs="Volkswagen Copy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0552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41176-6A91-4FB7-B592-A84FCC44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Networks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Wieland</dc:creator>
  <cp:lastModifiedBy>Chloe Thi</cp:lastModifiedBy>
  <cp:revision>2</cp:revision>
  <cp:lastPrinted>2018-01-15T01:14:00Z</cp:lastPrinted>
  <dcterms:created xsi:type="dcterms:W3CDTF">2018-02-21T22:09:00Z</dcterms:created>
  <dcterms:modified xsi:type="dcterms:W3CDTF">2018-02-21T22:09:00Z</dcterms:modified>
</cp:coreProperties>
</file>